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183BA511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644F9">
        <w:rPr>
          <w:rFonts w:ascii="Arial" w:hAnsi="Arial" w:cs="Arial"/>
          <w:b/>
          <w:sz w:val="24"/>
          <w:szCs w:val="24"/>
          <w:lang w:eastAsia="zh-CN"/>
        </w:rPr>
        <w:t>112bis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1644F9">
        <w:rPr>
          <w:rFonts w:ascii="Arial" w:eastAsia="MS Mincho" w:hAnsi="Arial" w:cs="Arial"/>
          <w:b/>
          <w:sz w:val="24"/>
          <w:szCs w:val="24"/>
        </w:rPr>
        <w:t>1</w:t>
      </w:r>
      <w:r w:rsidR="00D42F8C">
        <w:rPr>
          <w:rFonts w:ascii="Arial" w:eastAsia="MS Mincho" w:hAnsi="Arial" w:cs="Arial"/>
          <w:b/>
          <w:sz w:val="24"/>
          <w:szCs w:val="24"/>
        </w:rPr>
        <w:t>5132</w:t>
      </w:r>
    </w:p>
    <w:p w14:paraId="0ED16545" w14:textId="77D98F69" w:rsidR="0068254F" w:rsidRPr="00881E60" w:rsidRDefault="00202765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Hefei, 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 xml:space="preserve">Oct </w:t>
      </w:r>
      <w:r w:rsidR="00AE614E">
        <w:rPr>
          <w:rFonts w:ascii="Arial" w:hAnsi="Arial"/>
          <w:b/>
          <w:sz w:val="24"/>
          <w:szCs w:val="24"/>
          <w:lang w:eastAsia="zh-CN"/>
        </w:rPr>
        <w:t>14</w:t>
      </w:r>
      <w:r w:rsidR="00AE614E" w:rsidRPr="00AE61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E614E">
        <w:rPr>
          <w:rFonts w:ascii="Arial" w:hAnsi="Arial"/>
          <w:b/>
          <w:sz w:val="24"/>
          <w:szCs w:val="24"/>
          <w:lang w:eastAsia="zh-CN"/>
        </w:rPr>
        <w:t xml:space="preserve"> – 18</w:t>
      </w:r>
      <w:r w:rsidR="00AE614E" w:rsidRPr="00AE61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E614E">
        <w:rPr>
          <w:rFonts w:ascii="Arial" w:hAnsi="Arial"/>
          <w:b/>
          <w:sz w:val="24"/>
          <w:szCs w:val="24"/>
          <w:lang w:eastAsia="zh-CN"/>
        </w:rPr>
        <w:t>,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5CAF73D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42F8C" w:rsidRPr="00D42F8C">
        <w:rPr>
          <w:rFonts w:ascii="Arial" w:hAnsi="Arial" w:cs="Arial"/>
          <w:b/>
          <w:sz w:val="22"/>
        </w:rPr>
        <w:t>On Rx requirements of IBB, OBB, intermodulation for LP-WUS</w:t>
      </w:r>
    </w:p>
    <w:p w14:paraId="73AD8CE3" w14:textId="48316185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42F8C">
        <w:rPr>
          <w:rFonts w:ascii="Arial" w:hAnsi="Arial" w:cs="Arial"/>
          <w:b/>
          <w:sz w:val="22"/>
        </w:rPr>
        <w:t>6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D42F8C">
        <w:rPr>
          <w:rFonts w:ascii="Arial" w:hAnsi="Arial" w:cs="Arial"/>
          <w:b/>
          <w:bCs/>
          <w:sz w:val="22"/>
          <w:lang w:eastAsia="zh-CN"/>
        </w:rPr>
        <w:t>23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D42F8C">
        <w:rPr>
          <w:rFonts w:ascii="Arial" w:hAnsi="Arial" w:cs="Arial"/>
          <w:b/>
          <w:bCs/>
          <w:sz w:val="22"/>
          <w:lang w:eastAsia="zh-CN"/>
        </w:rPr>
        <w:t>2.3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5CDD1EB3" w14:textId="3279367D" w:rsidR="00B4053B" w:rsidRDefault="00004F02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In RAN4#112, the discussion on Rx requirements were mostly focused on REFSENS, ACS and ASCS, leaving other Rx requirements such as IBB, OBB and IMD not concluded [1]</w:t>
      </w:r>
      <w:r w:rsidR="007B59EF">
        <w:rPr>
          <w:lang w:eastAsia="zh-CN"/>
        </w:rPr>
        <w:t xml:space="preserve"> [2]</w:t>
      </w:r>
      <w:r>
        <w:rPr>
          <w:lang w:eastAsia="zh-CN"/>
        </w:rPr>
        <w:t>.</w:t>
      </w:r>
    </w:p>
    <w:p w14:paraId="0BF6841A" w14:textId="22B1C234" w:rsidR="007B59EF" w:rsidRDefault="007B59EF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propose to reuse the IBB and OBB for legacy UEs specified in TS 38.101-1 for LP-WUS if no issue is identified.</w:t>
      </w:r>
    </w:p>
    <w:p w14:paraId="29EF9E55" w14:textId="2B110BA6" w:rsidR="00163132" w:rsidRPr="00AB3D40" w:rsidRDefault="009267C2" w:rsidP="003E08FC">
      <w:pPr>
        <w:pStyle w:val="Heading1"/>
        <w:rPr>
          <w:lang w:eastAsia="zh-CN"/>
        </w:rPr>
      </w:pPr>
      <w:r>
        <w:t>2 Discussion</w:t>
      </w:r>
    </w:p>
    <w:p w14:paraId="01037575" w14:textId="52CF7FF4" w:rsidR="00802429" w:rsidRDefault="007C2A45" w:rsidP="00802429">
      <w:pPr>
        <w:pStyle w:val="B1"/>
        <w:ind w:left="0" w:firstLine="0"/>
        <w:rPr>
          <w:lang w:eastAsia="zh-CN"/>
        </w:rPr>
      </w:pPr>
      <w:r w:rsidRPr="007C2A45">
        <w:rPr>
          <w:lang w:eastAsia="zh-CN"/>
        </w:rPr>
        <w:t xml:space="preserve">Since the LP-WUS is tasked with waking up the MR, its reliability is vital. </w:t>
      </w:r>
      <w:r w:rsidR="005E14DF">
        <w:rPr>
          <w:lang w:eastAsia="zh-CN"/>
        </w:rPr>
        <w:t xml:space="preserve">On one hand, a relaxed IBB compared with that for MR may </w:t>
      </w:r>
      <w:r w:rsidR="005E14DF" w:rsidRPr="005E14DF">
        <w:rPr>
          <w:lang w:eastAsia="zh-CN"/>
        </w:rPr>
        <w:t>guarantee the coverage of LP-WUR in blocking scenarios</w:t>
      </w:r>
      <w:r w:rsidR="005E14DF">
        <w:rPr>
          <w:lang w:eastAsia="zh-CN"/>
        </w:rPr>
        <w:t xml:space="preserve"> [2]</w:t>
      </w:r>
      <w:r w:rsidR="005E14DF" w:rsidRPr="005E14DF">
        <w:rPr>
          <w:lang w:eastAsia="zh-CN"/>
        </w:rPr>
        <w:t>,</w:t>
      </w:r>
      <w:r w:rsidR="005E14DF">
        <w:rPr>
          <w:lang w:eastAsia="zh-CN"/>
        </w:rPr>
        <w:t xml:space="preserve"> on the other hand, if</w:t>
      </w:r>
      <w:r w:rsidRPr="007C2A45">
        <w:rPr>
          <w:lang w:eastAsia="zh-CN"/>
        </w:rPr>
        <w:t xml:space="preserve"> the LP-WUS fails to effectively filter out in-band or out-of-band signals</w:t>
      </w:r>
      <w:r w:rsidR="005E14DF">
        <w:rPr>
          <w:lang w:eastAsia="zh-CN"/>
        </w:rPr>
        <w:t xml:space="preserve"> resulting from a relaxed requirement</w:t>
      </w:r>
      <w:r w:rsidRPr="007C2A45">
        <w:rPr>
          <w:lang w:eastAsia="zh-CN"/>
        </w:rPr>
        <w:t>, it may lead to missed wake-up events, which would negatively impact the system's performance and negate the benefits of implementing LP-WUS/WUR.</w:t>
      </w:r>
      <w:r w:rsidR="005E14DF">
        <w:rPr>
          <w:lang w:eastAsia="zh-CN"/>
        </w:rPr>
        <w:t xml:space="preserve"> </w:t>
      </w:r>
    </w:p>
    <w:p w14:paraId="311B7691" w14:textId="52216EF3" w:rsidR="007C2A45" w:rsidRPr="007C2A45" w:rsidRDefault="007C2A45" w:rsidP="00802429">
      <w:pPr>
        <w:pStyle w:val="B1"/>
        <w:ind w:left="0" w:firstLine="0"/>
        <w:rPr>
          <w:b/>
          <w:bCs/>
          <w:lang w:eastAsia="zh-CN"/>
        </w:rPr>
      </w:pPr>
      <w:r w:rsidRPr="007C2A45">
        <w:rPr>
          <w:b/>
          <w:bCs/>
          <w:lang w:eastAsia="zh-CN"/>
        </w:rPr>
        <w:t>Observation 1: Relaxing in-band and out-of-band blocking for LP-WUS may negate the benefits of implementing LP-WUS/WUR.</w:t>
      </w:r>
    </w:p>
    <w:p w14:paraId="11FDB6BB" w14:textId="787CC4DC" w:rsidR="00D42F8C" w:rsidRDefault="00D42F8C" w:rsidP="00802429">
      <w:pPr>
        <w:pStyle w:val="B1"/>
        <w:ind w:left="0" w:firstLine="0"/>
        <w:rPr>
          <w:lang w:eastAsia="zh-CN"/>
        </w:rPr>
      </w:pPr>
      <w:r>
        <w:rPr>
          <w:lang w:eastAsia="zh-CN"/>
        </w:rPr>
        <w:t>Having the same IBB</w:t>
      </w:r>
      <w:r w:rsidR="007C2A45">
        <w:rPr>
          <w:lang w:eastAsia="zh-CN"/>
        </w:rPr>
        <w:t xml:space="preserve"> and </w:t>
      </w:r>
      <w:r>
        <w:rPr>
          <w:lang w:eastAsia="zh-CN"/>
        </w:rPr>
        <w:t>OBB for both LP-WUS and MR creates a unified set of performance standards across the system. This consistency can simplify design, testing, and regulatory compliance processes</w:t>
      </w:r>
      <w:r w:rsidR="007C2A45">
        <w:rPr>
          <w:lang w:eastAsia="zh-CN"/>
        </w:rPr>
        <w:t>, and</w:t>
      </w:r>
      <w:r>
        <w:rPr>
          <w:lang w:eastAsia="zh-CN"/>
        </w:rPr>
        <w:t xml:space="preserve"> ensure</w:t>
      </w:r>
      <w:r w:rsidR="007C2A45">
        <w:rPr>
          <w:lang w:eastAsia="zh-CN"/>
        </w:rPr>
        <w:t xml:space="preserve"> interoperability</w:t>
      </w:r>
      <w:r>
        <w:rPr>
          <w:lang w:eastAsia="zh-CN"/>
        </w:rPr>
        <w:t xml:space="preserve"> </w:t>
      </w:r>
      <w:r w:rsidR="007C2A45">
        <w:rPr>
          <w:lang w:eastAsia="zh-CN"/>
        </w:rPr>
        <w:t>for</w:t>
      </w:r>
      <w:r>
        <w:rPr>
          <w:lang w:eastAsia="zh-CN"/>
        </w:rPr>
        <w:t xml:space="preserve"> different components of the system</w:t>
      </w:r>
      <w:r w:rsidR="007C2A45">
        <w:rPr>
          <w:lang w:eastAsia="zh-CN"/>
        </w:rPr>
        <w:t xml:space="preserve"> </w:t>
      </w:r>
      <w:r>
        <w:rPr>
          <w:lang w:eastAsia="zh-CN"/>
        </w:rPr>
        <w:t>including LP-WUS and MR without unexpected issues arising from differences in interference tolerance</w:t>
      </w:r>
      <w:r w:rsidR="00F77E94">
        <w:rPr>
          <w:lang w:eastAsia="zh-CN"/>
        </w:rPr>
        <w:t xml:space="preserve">, </w:t>
      </w:r>
      <w:r w:rsidR="007C2A45">
        <w:rPr>
          <w:lang w:eastAsia="zh-CN"/>
        </w:rPr>
        <w:t>mitigate the risk of false wake-ups caused by unwanted interference</w:t>
      </w:r>
      <w:r w:rsidR="00F77E94">
        <w:rPr>
          <w:lang w:eastAsia="zh-CN"/>
        </w:rPr>
        <w:t xml:space="preserve"> </w:t>
      </w:r>
      <w:r w:rsidR="007C2A45">
        <w:rPr>
          <w:lang w:eastAsia="zh-CN"/>
        </w:rPr>
        <w:t>ensuring that the MR is activated only when necessary.</w:t>
      </w:r>
    </w:p>
    <w:p w14:paraId="560FCA9F" w14:textId="50B56578" w:rsidR="00F77E94" w:rsidRDefault="00F77E94" w:rsidP="00802429">
      <w:pPr>
        <w:pStyle w:val="B1"/>
        <w:ind w:left="0" w:firstLine="0"/>
        <w:rPr>
          <w:lang w:eastAsia="zh-CN"/>
        </w:rPr>
      </w:pPr>
      <w:r>
        <w:rPr>
          <w:lang w:eastAsia="zh-CN"/>
        </w:rPr>
        <w:t>As technology evolves, having aligned specifications may help future-proof systems and ensure continued compliance with emerging standards.</w:t>
      </w:r>
    </w:p>
    <w:p w14:paraId="25727DC9" w14:textId="5757FE22" w:rsidR="00F02464" w:rsidRPr="00A0707A" w:rsidRDefault="00F77E94" w:rsidP="00802429">
      <w:pPr>
        <w:pStyle w:val="B1"/>
        <w:ind w:left="0" w:firstLine="0"/>
        <w:rPr>
          <w:b/>
          <w:bCs/>
          <w:lang w:eastAsia="zh-CN"/>
        </w:rPr>
      </w:pPr>
      <w:r w:rsidRPr="00F77E94">
        <w:rPr>
          <w:b/>
          <w:bCs/>
          <w:lang w:eastAsia="zh-CN"/>
        </w:rPr>
        <w:t xml:space="preserve">Observation 2: </w:t>
      </w:r>
      <w:r>
        <w:rPr>
          <w:b/>
          <w:bCs/>
          <w:lang w:eastAsia="zh-CN"/>
        </w:rPr>
        <w:t>Having t</w:t>
      </w:r>
      <w:r w:rsidRPr="00F77E94">
        <w:rPr>
          <w:b/>
          <w:bCs/>
          <w:lang w:eastAsia="zh-CN"/>
        </w:rPr>
        <w:t xml:space="preserve">he same IBB and OBB </w:t>
      </w:r>
      <w:r>
        <w:rPr>
          <w:b/>
          <w:bCs/>
          <w:lang w:eastAsia="zh-CN"/>
        </w:rPr>
        <w:t xml:space="preserve">requirements </w:t>
      </w:r>
      <w:r w:rsidRPr="00F77E94">
        <w:rPr>
          <w:b/>
          <w:bCs/>
          <w:lang w:eastAsia="zh-CN"/>
        </w:rPr>
        <w:t xml:space="preserve">for both LP-WUS and MR </w:t>
      </w:r>
      <w:r w:rsidR="00F02464">
        <w:rPr>
          <w:b/>
          <w:bCs/>
          <w:lang w:eastAsia="zh-CN"/>
        </w:rPr>
        <w:t xml:space="preserve">is future-proof, which </w:t>
      </w:r>
      <w:r w:rsidRPr="00F77E94">
        <w:rPr>
          <w:b/>
          <w:bCs/>
          <w:lang w:eastAsia="zh-CN"/>
        </w:rPr>
        <w:t>may simplify design, testing and ensure interoperability and benefits of LP-WUS/WUR.</w:t>
      </w:r>
    </w:p>
    <w:p w14:paraId="49C59510" w14:textId="5A57850C" w:rsidR="00D42F8C" w:rsidRDefault="00F02464" w:rsidP="00802429">
      <w:pPr>
        <w:pStyle w:val="B1"/>
        <w:ind w:left="0" w:firstLine="0"/>
        <w:rPr>
          <w:lang w:eastAsia="zh-CN"/>
        </w:rPr>
      </w:pPr>
      <w:r>
        <w:rPr>
          <w:lang w:eastAsia="zh-CN"/>
        </w:rPr>
        <w:t>Hence, we propose to reuse the IBB</w:t>
      </w:r>
      <w:r w:rsidR="00A0707A">
        <w:rPr>
          <w:lang w:eastAsia="zh-CN"/>
        </w:rPr>
        <w:t xml:space="preserve"> and OBB for legacy UEs specified in TS 38.101-1 for LP-WUS if no other issue is identified.</w:t>
      </w:r>
    </w:p>
    <w:p w14:paraId="5EB146D7" w14:textId="1F648BC9" w:rsidR="009267C2" w:rsidRPr="00A0707A" w:rsidRDefault="00A0707A" w:rsidP="009267C2">
      <w:pPr>
        <w:pStyle w:val="B1"/>
        <w:ind w:left="0" w:firstLine="0"/>
        <w:rPr>
          <w:b/>
          <w:bCs/>
          <w:lang w:eastAsia="zh-CN"/>
        </w:rPr>
      </w:pPr>
      <w:r w:rsidRPr="00A0707A">
        <w:rPr>
          <w:b/>
          <w:bCs/>
          <w:lang w:eastAsia="zh-CN"/>
        </w:rPr>
        <w:t>Proposal</w:t>
      </w:r>
      <w:r w:rsidR="00635F21">
        <w:rPr>
          <w:b/>
          <w:bCs/>
          <w:lang w:eastAsia="zh-CN"/>
        </w:rPr>
        <w:t xml:space="preserve"> 1</w:t>
      </w:r>
      <w:r w:rsidRPr="00A0707A">
        <w:rPr>
          <w:b/>
          <w:bCs/>
          <w:lang w:eastAsia="zh-CN"/>
        </w:rPr>
        <w:t xml:space="preserve">: RAN4 to reuse the IBB and OBB </w:t>
      </w:r>
      <w:r w:rsidR="00CD50DB">
        <w:rPr>
          <w:b/>
          <w:bCs/>
          <w:lang w:eastAsia="zh-CN"/>
        </w:rPr>
        <w:t xml:space="preserve">requirements </w:t>
      </w:r>
      <w:r w:rsidRPr="00A0707A">
        <w:rPr>
          <w:b/>
          <w:bCs/>
          <w:lang w:eastAsia="zh-CN"/>
        </w:rPr>
        <w:t>for legacy UEs specified in TS 38.101-1 for LP-WUS if no other issue is identified.</w:t>
      </w:r>
    </w:p>
    <w:p w14:paraId="1FCBCEE4" w14:textId="30959629" w:rsidR="009267C2" w:rsidRDefault="00635F21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Similar to REFSENS for LP-WUS, the conventional 95% principle does not apply to IBB and OBB, so for IBB and OBB tests, the same MDR as REFSENS definition should be used.</w:t>
      </w:r>
    </w:p>
    <w:p w14:paraId="41C8EBE9" w14:textId="4E5D2E6C" w:rsidR="00635F21" w:rsidRPr="00635F21" w:rsidRDefault="00635F21" w:rsidP="009267C2">
      <w:pPr>
        <w:pStyle w:val="B1"/>
        <w:ind w:left="0" w:firstLine="0"/>
        <w:rPr>
          <w:b/>
          <w:bCs/>
          <w:lang w:eastAsia="zh-CN"/>
        </w:rPr>
      </w:pPr>
      <w:r w:rsidRPr="00635F21">
        <w:rPr>
          <w:b/>
          <w:bCs/>
          <w:lang w:eastAsia="zh-CN"/>
        </w:rPr>
        <w:t>Proposal 2: Use MDR as test metric for IBB and OBB for LP-WUS.</w:t>
      </w:r>
    </w:p>
    <w:p w14:paraId="383D39F2" w14:textId="4B4F4B4F" w:rsidR="009267C2" w:rsidRPr="00AB3D40" w:rsidRDefault="009267C2" w:rsidP="009267C2">
      <w:pPr>
        <w:pStyle w:val="Heading1"/>
        <w:rPr>
          <w:lang w:eastAsia="zh-CN"/>
        </w:rPr>
      </w:pPr>
      <w:r>
        <w:t>3 Conclusion</w:t>
      </w:r>
    </w:p>
    <w:p w14:paraId="1FE4BA07" w14:textId="67BDB153" w:rsidR="009267C2" w:rsidRDefault="00A0707A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observations and proposal</w:t>
      </w:r>
      <w:r w:rsidR="00635F21">
        <w:rPr>
          <w:lang w:eastAsia="zh-CN"/>
        </w:rPr>
        <w:t>s</w:t>
      </w:r>
      <w:r>
        <w:rPr>
          <w:lang w:eastAsia="zh-CN"/>
        </w:rPr>
        <w:t xml:space="preserve"> for IBB and OBB requirements for LP-WUS:</w:t>
      </w:r>
    </w:p>
    <w:p w14:paraId="400C6734" w14:textId="77777777" w:rsidR="00A0707A" w:rsidRPr="007C2A45" w:rsidRDefault="00A0707A" w:rsidP="00A0707A">
      <w:pPr>
        <w:pStyle w:val="B1"/>
        <w:ind w:left="0" w:firstLine="0"/>
        <w:rPr>
          <w:b/>
          <w:bCs/>
          <w:lang w:eastAsia="zh-CN"/>
        </w:rPr>
      </w:pPr>
      <w:r w:rsidRPr="007C2A45">
        <w:rPr>
          <w:b/>
          <w:bCs/>
          <w:lang w:eastAsia="zh-CN"/>
        </w:rPr>
        <w:t>Observation 1: Relaxing in-band and out-of-band blocking for LP-WUS may negate the benefits of implementing LP-WUS/WUR.</w:t>
      </w:r>
    </w:p>
    <w:p w14:paraId="07996F40" w14:textId="77777777" w:rsidR="00A0707A" w:rsidRPr="00A0707A" w:rsidRDefault="00A0707A" w:rsidP="00A0707A">
      <w:pPr>
        <w:pStyle w:val="B1"/>
        <w:ind w:left="0" w:firstLine="0"/>
        <w:rPr>
          <w:b/>
          <w:bCs/>
          <w:lang w:eastAsia="zh-CN"/>
        </w:rPr>
      </w:pPr>
      <w:r w:rsidRPr="00F77E94">
        <w:rPr>
          <w:b/>
          <w:bCs/>
          <w:lang w:eastAsia="zh-CN"/>
        </w:rPr>
        <w:t xml:space="preserve">Observation 2: </w:t>
      </w:r>
      <w:r>
        <w:rPr>
          <w:b/>
          <w:bCs/>
          <w:lang w:eastAsia="zh-CN"/>
        </w:rPr>
        <w:t>Having t</w:t>
      </w:r>
      <w:r w:rsidRPr="00F77E94">
        <w:rPr>
          <w:b/>
          <w:bCs/>
          <w:lang w:eastAsia="zh-CN"/>
        </w:rPr>
        <w:t xml:space="preserve">he same IBB and OBB </w:t>
      </w:r>
      <w:r>
        <w:rPr>
          <w:b/>
          <w:bCs/>
          <w:lang w:eastAsia="zh-CN"/>
        </w:rPr>
        <w:t xml:space="preserve">requirements </w:t>
      </w:r>
      <w:r w:rsidRPr="00F77E94">
        <w:rPr>
          <w:b/>
          <w:bCs/>
          <w:lang w:eastAsia="zh-CN"/>
        </w:rPr>
        <w:t xml:space="preserve">for both LP-WUS and MR </w:t>
      </w:r>
      <w:r>
        <w:rPr>
          <w:b/>
          <w:bCs/>
          <w:lang w:eastAsia="zh-CN"/>
        </w:rPr>
        <w:t xml:space="preserve">is future-proof, which </w:t>
      </w:r>
      <w:r w:rsidRPr="00F77E94">
        <w:rPr>
          <w:b/>
          <w:bCs/>
          <w:lang w:eastAsia="zh-CN"/>
        </w:rPr>
        <w:t>may simplify design, testing and ensure interoperability and benefits of LP-WUS/WUR.</w:t>
      </w:r>
    </w:p>
    <w:p w14:paraId="4E63581C" w14:textId="6FAAC683" w:rsidR="00A0707A" w:rsidRDefault="00CD50DB" w:rsidP="009267C2">
      <w:pPr>
        <w:pStyle w:val="B1"/>
        <w:ind w:left="0" w:firstLine="0"/>
        <w:rPr>
          <w:b/>
          <w:bCs/>
          <w:lang w:eastAsia="zh-CN"/>
        </w:rPr>
      </w:pPr>
      <w:r w:rsidRPr="00A0707A">
        <w:rPr>
          <w:b/>
          <w:bCs/>
          <w:lang w:eastAsia="zh-CN"/>
        </w:rPr>
        <w:t>Proposal</w:t>
      </w:r>
      <w:r w:rsidR="00635F21">
        <w:rPr>
          <w:b/>
          <w:bCs/>
          <w:lang w:eastAsia="zh-CN"/>
        </w:rPr>
        <w:t xml:space="preserve"> 1</w:t>
      </w:r>
      <w:r w:rsidRPr="00A0707A">
        <w:rPr>
          <w:b/>
          <w:bCs/>
          <w:lang w:eastAsia="zh-CN"/>
        </w:rPr>
        <w:t xml:space="preserve">: RAN4 to reuse the IBB and OBB </w:t>
      </w:r>
      <w:r>
        <w:rPr>
          <w:b/>
          <w:bCs/>
          <w:lang w:eastAsia="zh-CN"/>
        </w:rPr>
        <w:t xml:space="preserve">requirements </w:t>
      </w:r>
      <w:r w:rsidRPr="00A0707A">
        <w:rPr>
          <w:b/>
          <w:bCs/>
          <w:lang w:eastAsia="zh-CN"/>
        </w:rPr>
        <w:t>for legacy UEs specified in TS 38.101-1 for LP-WUS if no other issue is identified.</w:t>
      </w:r>
    </w:p>
    <w:p w14:paraId="63628C95" w14:textId="77777777" w:rsidR="00635F21" w:rsidRPr="00635F21" w:rsidRDefault="00635F21" w:rsidP="00635F21">
      <w:pPr>
        <w:pStyle w:val="B1"/>
        <w:ind w:left="0" w:firstLine="0"/>
        <w:rPr>
          <w:b/>
          <w:bCs/>
          <w:lang w:eastAsia="zh-CN"/>
        </w:rPr>
      </w:pPr>
      <w:r w:rsidRPr="00635F21">
        <w:rPr>
          <w:b/>
          <w:bCs/>
          <w:lang w:eastAsia="zh-CN"/>
        </w:rPr>
        <w:t>Proposal 2: Use MDR as test metric for IBB and OBB for LP-WUS.</w:t>
      </w:r>
    </w:p>
    <w:p w14:paraId="398D7481" w14:textId="77777777" w:rsidR="00395CD5" w:rsidRPr="00CD50DB" w:rsidRDefault="00395CD5" w:rsidP="009267C2">
      <w:pPr>
        <w:pStyle w:val="B1"/>
        <w:ind w:left="0" w:firstLine="0"/>
        <w:rPr>
          <w:b/>
          <w:bCs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3549E1B6" w14:textId="77777777" w:rsidR="00D42F8C" w:rsidRDefault="00D42F8C" w:rsidP="00D42F8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[1] </w:t>
      </w:r>
      <w:r w:rsidRPr="000C58AD">
        <w:rPr>
          <w:lang w:eastAsia="zh-CN"/>
        </w:rPr>
        <w:t>R4-2414309</w:t>
      </w:r>
      <w:r>
        <w:rPr>
          <w:lang w:eastAsia="zh-CN"/>
        </w:rPr>
        <w:t>, “</w:t>
      </w:r>
      <w:r w:rsidRPr="000C58AD">
        <w:rPr>
          <w:lang w:eastAsia="zh-CN"/>
        </w:rPr>
        <w:t>WF on LP-WUS UE RF requirements</w:t>
      </w:r>
      <w:r>
        <w:rPr>
          <w:lang w:eastAsia="zh-CN"/>
        </w:rPr>
        <w:t>”, vivo</w:t>
      </w:r>
    </w:p>
    <w:p w14:paraId="2370BD97" w14:textId="6E64CC78" w:rsidR="009267C2" w:rsidRDefault="00D42F8C" w:rsidP="00D42F8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[2] </w:t>
      </w:r>
      <w:r w:rsidRPr="000C58AD">
        <w:rPr>
          <w:lang w:eastAsia="zh-CN"/>
        </w:rPr>
        <w:t>R4-2412835</w:t>
      </w:r>
      <w:r>
        <w:rPr>
          <w:lang w:eastAsia="zh-CN"/>
        </w:rPr>
        <w:t>, “</w:t>
      </w:r>
      <w:r w:rsidRPr="000C58AD">
        <w:rPr>
          <w:lang w:eastAsia="zh-CN"/>
        </w:rPr>
        <w:t>Topic summary for [112][133] NR_LPWUS_UERF</w:t>
      </w:r>
      <w:r>
        <w:rPr>
          <w:lang w:eastAsia="zh-CN"/>
        </w:rPr>
        <w:t>”, Moderator(vivo)</w:t>
      </w: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8ADD4" w14:textId="77777777" w:rsidR="00EA27EB" w:rsidRPr="00A10429" w:rsidRDefault="00EA27E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CB69CE1" w14:textId="77777777" w:rsidR="00EA27EB" w:rsidRPr="00A10429" w:rsidRDefault="00EA27E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E85013" w14:textId="77777777" w:rsidR="00EA27EB" w:rsidRPr="00A10429" w:rsidRDefault="00EA27E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9E93374" w14:textId="77777777" w:rsidR="00EA27EB" w:rsidRPr="00A10429" w:rsidRDefault="00EA27E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2"/>
  </w:num>
  <w:num w:numId="2" w16cid:durableId="767700499">
    <w:abstractNumId w:val="12"/>
  </w:num>
  <w:num w:numId="3" w16cid:durableId="980884213">
    <w:abstractNumId w:val="21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2"/>
  </w:num>
  <w:num w:numId="10" w16cid:durableId="1699429464">
    <w:abstractNumId w:val="22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0"/>
  </w:num>
  <w:num w:numId="15" w16cid:durableId="1988124532">
    <w:abstractNumId w:val="22"/>
  </w:num>
  <w:num w:numId="16" w16cid:durableId="563225832">
    <w:abstractNumId w:val="22"/>
  </w:num>
  <w:num w:numId="17" w16cid:durableId="599262311">
    <w:abstractNumId w:val="15"/>
  </w:num>
  <w:num w:numId="18" w16cid:durableId="161748096">
    <w:abstractNumId w:val="23"/>
  </w:num>
  <w:num w:numId="19" w16cid:durableId="573126915">
    <w:abstractNumId w:val="22"/>
  </w:num>
  <w:num w:numId="20" w16cid:durableId="2004045065">
    <w:abstractNumId w:val="5"/>
  </w:num>
  <w:num w:numId="21" w16cid:durableId="584807274">
    <w:abstractNumId w:val="22"/>
  </w:num>
  <w:num w:numId="22" w16cid:durableId="181170718">
    <w:abstractNumId w:val="22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4F02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CD9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0CB6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4BDB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D5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4DF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F21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9EF"/>
    <w:rsid w:val="007B75EA"/>
    <w:rsid w:val="007B7840"/>
    <w:rsid w:val="007C0182"/>
    <w:rsid w:val="007C1502"/>
    <w:rsid w:val="007C1B39"/>
    <w:rsid w:val="007C225A"/>
    <w:rsid w:val="007C2A45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0A4E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429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07A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0DB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2F8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43F"/>
    <w:rsid w:val="00EA08D7"/>
    <w:rsid w:val="00EA0A11"/>
    <w:rsid w:val="00EA0B64"/>
    <w:rsid w:val="00EA1450"/>
    <w:rsid w:val="00EA1EE0"/>
    <w:rsid w:val="00EA1EE4"/>
    <w:rsid w:val="00EA27EB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464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837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E94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15</cp:revision>
  <dcterms:created xsi:type="dcterms:W3CDTF">2024-10-06T21:37:00Z</dcterms:created>
  <dcterms:modified xsi:type="dcterms:W3CDTF">2024-10-07T07:11:00Z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